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-2647943</wp:posOffset>
            </wp:positionH>
            <wp:positionV relativeFrom="paragraph">
              <wp:posOffset>-914392</wp:posOffset>
            </wp:positionV>
            <wp:extent cx="5732145" cy="4373880"/>
            <wp:effectExtent b="0" l="0" r="0" t="0"/>
            <wp:wrapNone/>
            <wp:docPr id="159700701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-389882</wp:posOffset>
            </wp:positionH>
            <wp:positionV relativeFrom="paragraph">
              <wp:posOffset>-514341</wp:posOffset>
            </wp:positionV>
            <wp:extent cx="3048000" cy="834853"/>
            <wp:effectExtent b="0" l="0" r="0" t="0"/>
            <wp:wrapNone/>
            <wp:docPr id="159700701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93462</wp:posOffset>
                </wp:positionV>
                <wp:extent cx="4476115" cy="1020682"/>
                <wp:effectExtent b="0" l="0" r="0" t="0"/>
                <wp:wrapSquare wrapText="bothSides" distB="45720" distT="45720" distL="114300" distR="114300"/>
                <wp:docPr id="15970070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00" y="3602925"/>
                          <a:ext cx="3994500" cy="89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93462</wp:posOffset>
                </wp:positionV>
                <wp:extent cx="4476115" cy="1020682"/>
                <wp:effectExtent b="0" l="0" r="0" t="0"/>
                <wp:wrapSquare wrapText="bothSides" distB="45720" distT="45720" distL="114300" distR="114300"/>
                <wp:docPr id="159700701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115" cy="102068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469900</wp:posOffset>
                </wp:positionH>
                <wp:positionV relativeFrom="paragraph">
                  <wp:posOffset>185420</wp:posOffset>
                </wp:positionV>
                <wp:extent cx="4733925" cy="1063696"/>
                <wp:effectExtent b="0" l="0" r="0" t="0"/>
                <wp:wrapSquare wrapText="bothSides" distB="45720" distT="45720" distL="114300" distR="114300"/>
                <wp:docPr id="15970070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469900</wp:posOffset>
                </wp:positionH>
                <wp:positionV relativeFrom="paragraph">
                  <wp:posOffset>185420</wp:posOffset>
                </wp:positionV>
                <wp:extent cx="4733925" cy="1063696"/>
                <wp:effectExtent b="0" l="0" r="0" t="0"/>
                <wp:wrapSquare wrapText="bothSides" distB="45720" distT="45720" distL="114300" distR="114300"/>
                <wp:docPr id="159700701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3925" cy="10636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1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38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  <w:t xml:space="preserve">Panoramica del progetto TINKER e introduzione preliminare all’apprendimento autentico e alle pratiche inclusive di genere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1.1: Apprendimento autentico per un’istruzione inclusiva di genere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Personale docente/formatore della scuola primaria e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Comprendere gli obiettivi e il significato del </w:t>
            </w:r>
            <w:r w:rsidDel="00000000" w:rsidR="00000000" w:rsidRPr="00000000">
              <w:rPr>
                <w:b w:val="1"/>
                <w:rtl w:val="0"/>
              </w:rPr>
              <w:t xml:space="preserve">progetto TINKER</w:t>
            </w:r>
            <w:r w:rsidDel="00000000" w:rsidR="00000000" w:rsidRPr="00000000">
              <w:rPr>
                <w:rtl w:val="0"/>
              </w:rPr>
              <w:t xml:space="preserve"> nel contesto dell’educazione all’informatica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Individuare ed elencare le principali </w:t>
            </w:r>
            <w:r w:rsidDel="00000000" w:rsidR="00000000" w:rsidRPr="00000000">
              <w:rPr>
                <w:b w:val="1"/>
                <w:rtl w:val="0"/>
              </w:rPr>
              <w:t xml:space="preserve">aree tematiche</w:t>
            </w:r>
            <w:r w:rsidDel="00000000" w:rsidR="00000000" w:rsidRPr="00000000">
              <w:rPr>
                <w:rtl w:val="0"/>
              </w:rPr>
              <w:t xml:space="preserve"> dell’informatica delineate dalla coalizione Informatics4All 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Fornire una definizione di </w:t>
            </w:r>
            <w:r w:rsidDel="00000000" w:rsidR="00000000" w:rsidRPr="00000000">
              <w:rPr>
                <w:b w:val="1"/>
                <w:rtl w:val="0"/>
              </w:rPr>
              <w:t xml:space="preserve">apprendimento autentico</w:t>
            </w:r>
            <w:r w:rsidDel="00000000" w:rsidR="00000000" w:rsidRPr="00000000">
              <w:rPr>
                <w:rtl w:val="0"/>
              </w:rPr>
              <w:t xml:space="preserve"> e dei suoi </w:t>
            </w:r>
            <w:r w:rsidDel="00000000" w:rsidR="00000000" w:rsidRPr="00000000">
              <w:rPr>
                <w:b w:val="1"/>
                <w:rtl w:val="0"/>
              </w:rPr>
              <w:t xml:space="preserve">principi </w:t>
            </w:r>
            <w:r w:rsidDel="00000000" w:rsidR="00000000" w:rsidRPr="00000000">
              <w:rPr>
                <w:rtl w:val="0"/>
              </w:rPr>
              <w:t xml:space="preserve">chiave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Riconoscere l’importanza dell’apprendimento autentico nella promozione di un ambiente inclusivo di genere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Esaminare e attuare </w:t>
            </w:r>
            <w:r w:rsidDel="00000000" w:rsidR="00000000" w:rsidRPr="00000000">
              <w:rPr>
                <w:b w:val="1"/>
                <w:rtl w:val="0"/>
              </w:rPr>
              <w:t xml:space="preserve">metodi pratici</w:t>
            </w:r>
            <w:r w:rsidDel="00000000" w:rsidR="00000000" w:rsidRPr="00000000">
              <w:rPr>
                <w:rtl w:val="0"/>
              </w:rPr>
              <w:t xml:space="preserve"> ai fini dell’integrazione di strategie per un apprendimento autentico e inclusivo di genere all’interno della classe</w:t>
            </w:r>
          </w:p>
        </w:tc>
      </w:tr>
    </w:tbl>
    <w:p w:rsidR="00000000" w:rsidDel="00000000" w:rsidP="00000000" w:rsidRDefault="00000000" w:rsidRPr="00000000" w14:paraId="0000002A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Learnig by doing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sui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Presentazione PowerPoint 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Risorse Tinker: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Quadro di riferimento e Toolkit disponibili al link: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https://tinker-project.eu/it/resources/framework-and-toolkit/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Rapporto transnazionale disponibile al link: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https://tinker-project.eu/it/resources/transnational-report-on-state-of-the-art-and-needs/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Quadro di riferimento di Informatics4All disponibile al link: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https://www.informaticsforall.org/the-informatics-reference-framework-for-school-online-it/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Qui di seguito elenchiamo una serie di risorse aggiuntive che trattano l’educazione all’informatica in Europa.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Commissione europea. (2024). ICT specialists in employment. Eurostat. Visitato il  17 dicembre 2024, disponibile al link: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https://ec.europa.eu/eurostat/statistics-explained/index.php?title=ICT_specialists_in_employment</w:t>
              </w:r>
            </w:hyperlink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Commissione europea, Direzione generale delle Reti di comunicazione, dei contenuti e delle tecnologie, (2019). 2nd survey of schools : ICT in education : objective 1 : benchmark progress in ICT in schools, report finale, Ufficio delle pubblicazioni.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https://data.europa.eu/doi/10.2759/23401</w:t>
              </w:r>
            </w:hyperlink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Commissione europea, Agenzia esecutiva europea per l'istruzione e la cultura (EACEA), (2022). Informatics education at school in Europe, Ufficio delle pubblicazioni dell’Unione europea.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https://data.europa.eu/doi/10.2797/268406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0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tcMar>
              <w:top w:w="0.0" w:type="dxa"/>
              <w:left w:w="180.0" w:type="dxa"/>
              <w:bottom w:w="0.0" w:type="dxa"/>
              <w:right w:w="180.0" w:type="dxa"/>
            </w:tcMar>
          </w:tcPr>
          <w:p w:rsidR="00000000" w:rsidDel="00000000" w:rsidP="00000000" w:rsidRDefault="00000000" w:rsidRPr="00000000" w14:paraId="0000005C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Questa unità esplora le seguenti tematiche (diapositiva 6):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2"/>
              </w:numPr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introduzione al progetto TINKER, ai suoi obiettivi e al quadro TINKER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2"/>
              </w:numPr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importanza dell’insegnamento dell’informatica mediante un approccio autentico e inclusivo di genere</w:t>
            </w:r>
          </w:p>
          <w:p w:rsidR="00000000" w:rsidDel="00000000" w:rsidP="00000000" w:rsidRDefault="00000000" w:rsidRPr="00000000" w14:paraId="0000005F">
            <w:pPr>
              <w:ind w:left="720" w:firstLine="0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Rule="auto"/>
              <w:rPr>
                <w:i w:val="0"/>
                <w:u w:val="single"/>
              </w:rPr>
            </w:pPr>
            <w:bookmarkStart w:colFirst="0" w:colLast="0" w:name="_heading=h.qvar1wc6o1dk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Attività di benvenuto e rompighiaccio (10 minuti) 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Diapositiva 7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Scopo: questa attività rompighiaccio permette alle e ai docenti di valutare le proprie pratiche di insegnamento e getta le basi per l’autoriflessione.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9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Comincia l’attività con la seguente consegna: “pensate a una lezione che avete tenuto di recente e riflettere sui vostri metodi di insegnamento principali (ad es., appunti, casi di studio, lezioni basate su progetti, ecc.).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9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Chiedi alle e ai partecipanti di condividere i propri punti di vista e inserirli su uno strumento collaborativo, ad es. Padlet.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9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 le tematiche principali affrontate dall’unità e gli esiti attesi.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Rule="auto"/>
              <w:rPr>
                <w:i w:val="0"/>
                <w:u w:val="single"/>
              </w:rPr>
            </w:pPr>
            <w:bookmarkStart w:colFirst="0" w:colLast="0" w:name="_heading=h.jla5ule30zmj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Comprendere il progetto TINKER (10 minuti)</w:t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consente alle e agli docenti di approfondire la propria conoscenza del progetto TINKER e di comprendere l’importanza dell’educazione all’informatica secondo un approccio autentico e inclusivo dal punto di vista del genere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2.1. Introduzione al progetto TINKER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Presenta il progetto (diapositive 8, 9)</w:t>
            </w:r>
          </w:p>
          <w:p w:rsidR="00000000" w:rsidDel="00000000" w:rsidP="00000000" w:rsidRDefault="00000000" w:rsidRPr="00000000" w14:paraId="0000006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2.2. Perché l’approccio TINKER è necessario </w:t>
            </w:r>
            <w:r w:rsidDel="00000000" w:rsidR="00000000" w:rsidRPr="00000000">
              <w:rPr>
                <w:rtl w:val="0"/>
              </w:rPr>
              <w:t xml:space="preserve">(diapositive 10, 11)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Spiega perché è necessario educare all’informatica mediante un approccio basato sui dati UE e sui risultati delle ricerche sul campo e a tavolino condotte a Cipro, in Grecia, nei Paesi Bassi, in Irlanda, in Italia e in Croazia.</w:t>
            </w:r>
          </w:p>
          <w:p w:rsidR="00000000" w:rsidDel="00000000" w:rsidP="00000000" w:rsidRDefault="00000000" w:rsidRPr="00000000" w14:paraId="00000072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2.3. Il quadro TINKER </w:t>
            </w:r>
            <w:r w:rsidDel="00000000" w:rsidR="00000000" w:rsidRPr="00000000">
              <w:rPr>
                <w:rtl w:val="0"/>
              </w:rPr>
              <w:t xml:space="preserve">(diapositiva 12)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3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Introduci brevemente gli elementi principali del quadro TINKER (diapositiva 12):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3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Competenze e aree tematiche dell’informatica (diapositiva 13)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Apprendimento autentico (diapositiva 14)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Pratiche inclusive di genere (diapositiva 15)</w:t>
            </w:r>
          </w:p>
          <w:p w:rsidR="00000000" w:rsidDel="00000000" w:rsidP="00000000" w:rsidRDefault="00000000" w:rsidRPr="00000000" w14:paraId="0000007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2.4 Attività 1: spunti per l’autoriflessione </w:t>
            </w:r>
            <w:r w:rsidDel="00000000" w:rsidR="00000000" w:rsidRPr="00000000">
              <w:rPr>
                <w:rtl w:val="0"/>
              </w:rPr>
              <w:t xml:space="preserve">(diapositiva 16)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alle e ai discenti di pensare a una lezione tenuta di recente.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8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Dovranno poi rispondere alle seguenti domande condividendo le proprie idee in merito agli strumenti collaborativi come Padlet: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6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 era l’obiettivo della lezione?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6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Quale metodo di insegnamento avete adottato?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6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lezione ha coinvolto tutte le e tutti gli studenti, indipendentemente dal genere?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6"/>
              </w:numPr>
              <w:ind w:left="144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Avete utilizzato esempi reali?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Potresti poi raggruppare le somiglianze e/o le differenze, enfatizzando i concetti chiave (ad es., “osservando le risposte su Padlet, vedo che molte e molti di voi si sono concentrati su …)</w:t>
            </w:r>
          </w:p>
          <w:p w:rsidR="00000000" w:rsidDel="00000000" w:rsidP="00000000" w:rsidRDefault="00000000" w:rsidRPr="00000000" w14:paraId="00000081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</w:t>
            </w:r>
            <w:r w:rsidDel="00000000" w:rsidR="00000000" w:rsidRPr="00000000">
              <w:rPr>
                <w:rtl w:val="0"/>
              </w:rPr>
              <w:t xml:space="preserve">: le e i docenti iniziano a riconoscere le lacune dei propri processi di insegnamento attuali.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3. Esplorare l’apprendimento autentico (15 minuti) 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Diapositiva 17</w:t>
            </w:r>
          </w:p>
          <w:p w:rsidR="00000000" w:rsidDel="00000000" w:rsidP="00000000" w:rsidRDefault="00000000" w:rsidRPr="00000000" w14:paraId="0000008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permette alle e ai docenti di approfondire il concetto di apprendimento autentico.</w:t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3.1. Introduzione all’apprendimento autentico </w:t>
            </w:r>
            <w:r w:rsidDel="00000000" w:rsidR="00000000" w:rsidRPr="00000000">
              <w:rPr>
                <w:rtl w:val="0"/>
              </w:rPr>
              <w:t xml:space="preserve">(diapositive 17, 18, 19)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Fornisci una definizione del concetto e delle caratteristiche dell’apprendimento autentico.</w:t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3.2. Attività 2: spunti per l’autoriflessione </w:t>
            </w:r>
            <w:r w:rsidDel="00000000" w:rsidR="00000000" w:rsidRPr="00000000">
              <w:rPr>
                <w:rtl w:val="0"/>
              </w:rPr>
              <w:t xml:space="preserve">(diapositiva 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Dividi le e i partecipanti in piccoli gruppi.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loro di riflettere sulla domanda seguente: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1"/>
              </w:numPr>
              <w:ind w:left="21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che modo avete attuato l’apprendimento autentico in classe?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Chiedi al gruppo di condividere le proprie idee registrandole su uno strumento collaborativo (ad es. Padlet).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lineRule="auto"/>
              <w:rPr>
                <w:i w:val="0"/>
                <w:u w:val="single"/>
              </w:rPr>
            </w:pPr>
            <w:bookmarkStart w:colFirst="0" w:colLast="0" w:name="_heading=h.x6ww3hz89umm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4. Comprendere in che modo l’apprendimento autentico può contribuire all’istruzione inclusiva di genere (15 min) 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Diapositiva 21</w:t>
            </w:r>
          </w:p>
          <w:p w:rsidR="00000000" w:rsidDel="00000000" w:rsidP="00000000" w:rsidRDefault="00000000" w:rsidRPr="00000000" w14:paraId="0000009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Scopo: questa attività presenta alle e ai partecipanti il concetto di inclusione di genere.</w:t>
            </w:r>
          </w:p>
          <w:p w:rsidR="00000000" w:rsidDel="00000000" w:rsidP="00000000" w:rsidRDefault="00000000" w:rsidRPr="00000000" w14:paraId="0000009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4.1. Introduzione all’inclusione di genere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Presenta dati sulla disuguaglianza di genere in ambito informatico (diapositive 22, 23).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0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Mostra il legame tra apprendimento autentico e inclusione di genere (diapositive 24, 25, 26 e 27)</w:t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4.2. Attività 2: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brainstorming </w:t>
            </w:r>
            <w:r w:rsidDel="00000000" w:rsidR="00000000" w:rsidRPr="00000000">
              <w:rPr>
                <w:rtl w:val="0"/>
              </w:rPr>
              <w:t xml:space="preserve">(diapositiva 28)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Dividi le e i partecipanti in piccoli gruppi.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4"/>
              </w:numPr>
              <w:ind w:left="720" w:hanging="360"/>
              <w:jc w:val="both"/>
            </w:pPr>
            <w:r w:rsidDel="00000000" w:rsidR="00000000" w:rsidRPr="00000000">
              <w:rPr>
                <w:rtl w:val="0"/>
              </w:rPr>
              <w:t xml:space="preserve">Chiedi loro di riflettere sulla domanda seguente: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6"/>
              </w:numPr>
              <w:ind w:left="21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quali strategie di apprendimento autentico potreste adottare per contrastare i pregiudizi di genere negli ambienti educativi?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Sulla base della discussione, chiedi loro di scrivere su Padlet o su un altro strumento collaborativo (ad es., documenti Word condivisi online) alcune parole chiave relative alle strategie di insegnamento da loro adottate.</w:t>
            </w:r>
          </w:p>
          <w:p w:rsidR="00000000" w:rsidDel="00000000" w:rsidP="00000000" w:rsidRDefault="00000000" w:rsidRPr="00000000" w14:paraId="000000A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krs1oqietq5n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5. Riflessione e conclusione (10 min)</w:t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Diapositiva 29</w:t>
            </w:r>
          </w:p>
          <w:p w:rsidR="00000000" w:rsidDel="00000000" w:rsidP="00000000" w:rsidRDefault="00000000" w:rsidRPr="00000000" w14:paraId="000000A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e i partecipanti devono riflettere sulle proprie pratiche educative e stabilire se queste sono in linea con le pratiche di apprendimento autentico e inclusivo di genere. </w:t>
            </w:r>
          </w:p>
          <w:p w:rsidR="00000000" w:rsidDel="00000000" w:rsidP="00000000" w:rsidRDefault="00000000" w:rsidRPr="00000000" w14:paraId="000000A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Dovranno, inoltre, rispondere alla domanda seguente: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4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quali aspetti della lezione avete trovato più illuminanti?</w:t>
            </w:r>
          </w:p>
          <w:p w:rsidR="00000000" w:rsidDel="00000000" w:rsidP="00000000" w:rsidRDefault="00000000" w:rsidRPr="00000000" w14:paraId="000000A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Riassumi poi le idee chiave ricavate e incoraggia il personale docente a integrare le riflessioni sorte all’interno delle proprie pratiche di insegnamento.</w:t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valutare le competenze acquisite, al termine della lezione, le e i partecipanti dovranno discutere tra loro le seguenti domande: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17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perché l’insegnamento tramite pratiche autentiche e inclusive di genere è importante e come può supportare le e gli studenti?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7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riflettete su come le colleghe e i colleghi si servono di pratiche autentiche e inclusive di genere. Esistono pratiche specifiche per le materie da loro insegnate? Esistono pratiche che condividete tutte e tutti insieme?</w:t>
              <w:br w:type="textWrapping"/>
            </w:r>
          </w:p>
        </w:tc>
      </w:tr>
    </w:tbl>
    <w:p w:rsidR="00000000" w:rsidDel="00000000" w:rsidP="00000000" w:rsidRDefault="00000000" w:rsidRPr="00000000" w14:paraId="000000AF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B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 corso di questa lezione, abbiamo esplorato il </w:t>
            </w:r>
            <w:r w:rsidDel="00000000" w:rsidR="00000000" w:rsidRPr="00000000">
              <w:rPr>
                <w:b w:val="1"/>
                <w:rtl w:val="0"/>
              </w:rPr>
              <w:t xml:space="preserve">progetto TINKER</w:t>
            </w:r>
            <w:r w:rsidDel="00000000" w:rsidR="00000000" w:rsidRPr="00000000">
              <w:rPr>
                <w:rtl w:val="0"/>
              </w:rPr>
              <w:t xml:space="preserve">, i suoi obiettivi e il suo ruolo nell’</w:t>
            </w:r>
            <w:r w:rsidDel="00000000" w:rsidR="00000000" w:rsidRPr="00000000">
              <w:rPr>
                <w:b w:val="1"/>
                <w:rtl w:val="0"/>
              </w:rPr>
              <w:t xml:space="preserve">educazione all’informatica</w:t>
            </w:r>
            <w:r w:rsidDel="00000000" w:rsidR="00000000" w:rsidRPr="00000000">
              <w:rPr>
                <w:rtl w:val="0"/>
              </w:rPr>
              <w:t xml:space="preserve">, insieme all’</w:t>
            </w:r>
            <w:r w:rsidDel="00000000" w:rsidR="00000000" w:rsidRPr="00000000">
              <w:rPr>
                <w:b w:val="1"/>
                <w:rtl w:val="0"/>
              </w:rPr>
              <w:t xml:space="preserve">importanza dell’apprendimento autentico</w:t>
            </w:r>
            <w:r w:rsidDel="00000000" w:rsidR="00000000" w:rsidRPr="00000000">
              <w:rPr>
                <w:rtl w:val="0"/>
              </w:rPr>
              <w:t xml:space="preserve"> per la promozione di un </w:t>
            </w:r>
            <w:r w:rsidDel="00000000" w:rsidR="00000000" w:rsidRPr="00000000">
              <w:rPr>
                <w:b w:val="1"/>
                <w:rtl w:val="0"/>
              </w:rPr>
              <w:t xml:space="preserve">ambiente inclusivo di genere</w:t>
            </w:r>
            <w:r w:rsidDel="00000000" w:rsidR="00000000" w:rsidRPr="00000000">
              <w:rPr>
                <w:rtl w:val="0"/>
              </w:rPr>
              <w:t xml:space="preserve">. Abbiamo, inoltre, esaminato le aree tematiche principali dell’informatica, delineate da Informatics4All, e discusso le strategie adatte a rendere le esperienze di apprendimento più inclusive e coinvolgenti.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punti chiave della lezione riguardano l’importanza di una </w:t>
            </w:r>
            <w:r w:rsidDel="00000000" w:rsidR="00000000" w:rsidRPr="00000000">
              <w:rPr>
                <w:b w:val="1"/>
                <w:rtl w:val="0"/>
              </w:rPr>
              <w:t xml:space="preserve">comprensione preliminare dell’apprendimento autentico</w:t>
            </w:r>
            <w:r w:rsidDel="00000000" w:rsidR="00000000" w:rsidRPr="00000000">
              <w:rPr>
                <w:rtl w:val="0"/>
              </w:rPr>
              <w:t xml:space="preserve">, dei suoi principi e del modo in cui può essere sfruttato per</w:t>
            </w:r>
            <w:r w:rsidDel="00000000" w:rsidR="00000000" w:rsidRPr="00000000">
              <w:rPr>
                <w:b w:val="1"/>
                <w:rtl w:val="0"/>
              </w:rPr>
              <w:t xml:space="preserve"> promuovere l’istruzione inclusiva di genere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Valutate come questi approcci possano migliorare i vostri metodi di insegnamento. Riflettete su domande come: </w:t>
            </w:r>
            <w:r w:rsidDel="00000000" w:rsidR="00000000" w:rsidRPr="00000000">
              <w:rPr>
                <w:b w:val="1"/>
                <w:rtl w:val="0"/>
              </w:rPr>
              <w:t xml:space="preserve">i miei metodi attuali sono inclusivi e coinvolgenti? Sono in linea con gli obiettivi formativi? In che modo posso integrare le strategie di apprendimento in maniera più efficiente?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Infine, al fine di consolidare quanto osservato oggi, pensate a </w:t>
            </w:r>
            <w:r w:rsidDel="00000000" w:rsidR="00000000" w:rsidRPr="00000000">
              <w:rPr>
                <w:b w:val="1"/>
                <w:rtl w:val="0"/>
              </w:rPr>
              <w:t xml:space="preserve">metodi di apprendimento autentico</w:t>
            </w:r>
            <w:r w:rsidDel="00000000" w:rsidR="00000000" w:rsidRPr="00000000">
              <w:rPr>
                <w:rtl w:val="0"/>
              </w:rPr>
              <w:t xml:space="preserve"> attuati in un </w:t>
            </w:r>
            <w:r w:rsidDel="00000000" w:rsidR="00000000" w:rsidRPr="00000000">
              <w:rPr>
                <w:b w:val="1"/>
                <w:rtl w:val="0"/>
              </w:rPr>
              <w:t xml:space="preserve">contesto di classe reale</w:t>
            </w:r>
            <w:r w:rsidDel="00000000" w:rsidR="00000000" w:rsidRPr="00000000">
              <w:rPr>
                <w:rtl w:val="0"/>
              </w:rPr>
              <w:t xml:space="preserve"> o </w:t>
            </w:r>
            <w:r w:rsidDel="00000000" w:rsidR="00000000" w:rsidRPr="00000000">
              <w:rPr>
                <w:b w:val="1"/>
                <w:rtl w:val="0"/>
              </w:rPr>
              <w:t xml:space="preserve">simulato</w:t>
            </w:r>
            <w:r w:rsidDel="00000000" w:rsidR="00000000" w:rsidRPr="00000000">
              <w:rPr>
                <w:rtl w:val="0"/>
              </w:rPr>
              <w:t xml:space="preserve">, esaminandone i risultati. Condividete, se ne sentite il bisogno, ulteriori dubbi o difficoltà .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1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e i discenti dovrebbero prepararsi sull’Unità 1.2, individuando e approfondendo una tematica specifica che desiderano trattare nella loro classe mediante approcci di apprendimento autentico.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5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Consigliamo</w:t>
            </w:r>
            <w:r w:rsidDel="00000000" w:rsidR="00000000" w:rsidRPr="00000000">
              <w:rPr>
                <w:rtl w:val="0"/>
              </w:rPr>
              <w:t xml:space="preserve">, inoltre, di guardare i video al link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https://www.youtube.com/@JanH119/videos</w:t>
              </w:r>
            </w:hyperlink>
            <w:r w:rsidDel="00000000" w:rsidR="00000000" w:rsidRPr="00000000">
              <w:rPr>
                <w:rtl w:val="0"/>
              </w:rPr>
              <w:t xml:space="preserve"> per familiarizzare con le pratiche di apprendimento autentico.</w:t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</w:r>
    </w:p>
    <w:sectPr>
      <w:headerReference r:id="rId18" w:type="default"/>
      <w:footerReference r:id="rId19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663562"/>
              <wp:effectExtent b="0" l="0" r="0" t="0"/>
              <wp:wrapNone/>
              <wp:docPr id="159700701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663562"/>
              <wp:effectExtent b="0" l="0" r="0" t="0"/>
              <wp:wrapNone/>
              <wp:docPr id="159700701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52745" cy="6635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-647064</wp:posOffset>
          </wp:positionH>
          <wp:positionV relativeFrom="paragraph">
            <wp:posOffset>254000</wp:posOffset>
          </wp:positionV>
          <wp:extent cx="1311275" cy="290195"/>
          <wp:effectExtent b="0" l="0" r="0" t="0"/>
          <wp:wrapNone/>
          <wp:docPr id="1597007018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2901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inker-project.eu/it/resources/framework-and-toolkit/" TargetMode="External"/><Relationship Id="rId10" Type="http://schemas.openxmlformats.org/officeDocument/2006/relationships/image" Target="media/image1.jpg"/><Relationship Id="rId13" Type="http://schemas.openxmlformats.org/officeDocument/2006/relationships/hyperlink" Target="https://www.informaticsforall.org/the-informatics-reference-framework-for-school-online-it/" TargetMode="External"/><Relationship Id="rId12" Type="http://schemas.openxmlformats.org/officeDocument/2006/relationships/hyperlink" Target="https://tinker-project.eu/it/resources/transnational-report-on-state-of-the-art-and-need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yperlink" Target="https://data.europa.eu/doi/10.2759/23401" TargetMode="External"/><Relationship Id="rId14" Type="http://schemas.openxmlformats.org/officeDocument/2006/relationships/hyperlink" Target="https://ec.europa.eu/eurostat/statistics-explained/index.php?title=ICT_specialists_in_employment" TargetMode="External"/><Relationship Id="rId17" Type="http://schemas.openxmlformats.org/officeDocument/2006/relationships/hyperlink" Target="https://www.youtube.com/@JanH119/videos" TargetMode="External"/><Relationship Id="rId16" Type="http://schemas.openxmlformats.org/officeDocument/2006/relationships/hyperlink" Target="https://data.europa.eu/doi/10.2797/268406" TargetMode="Externa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2.jp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pHG3q94FXPFd5L4hFuPfddbixw==">CgMxLjAyDmgucXZhcjF3YzZvMWRrMg5oLmpsYTV1bGUzMHptajIOaC54Nnd3M2h6ODl1bW0yDmgua3JzMW9xaWV0cTVuOAByITF3aU1qV2xKc190SUU4Y0JXN0dLVHhaWUxFNXUyRTZDWQ==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2023-01-16T12:46:00Z</dcterms:created>
  <dc:creator>Helen</dc:creator>
</cp:coreProperties>
</file>